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97568" w14:textId="72F05C81" w:rsidR="004976DF" w:rsidRPr="00B61423" w:rsidRDefault="00927319">
      <w:pPr>
        <w:rPr>
          <w:b/>
          <w:sz w:val="28"/>
          <w:szCs w:val="28"/>
        </w:rPr>
      </w:pPr>
      <w:r w:rsidRPr="00B61423">
        <w:rPr>
          <w:b/>
          <w:sz w:val="28"/>
          <w:szCs w:val="28"/>
        </w:rPr>
        <w:t xml:space="preserve">Submission to </w:t>
      </w:r>
      <w:r w:rsidR="00DB5437" w:rsidRPr="00B61423">
        <w:rPr>
          <w:b/>
          <w:sz w:val="28"/>
          <w:szCs w:val="28"/>
        </w:rPr>
        <w:t>the Ministry of Health</w:t>
      </w:r>
      <w:r w:rsidRPr="00B61423">
        <w:rPr>
          <w:b/>
          <w:sz w:val="28"/>
          <w:szCs w:val="28"/>
        </w:rPr>
        <w:t xml:space="preserve"> on </w:t>
      </w:r>
      <w:r w:rsidR="00DB5437" w:rsidRPr="00B61423">
        <w:rPr>
          <w:b/>
          <w:sz w:val="28"/>
          <w:szCs w:val="28"/>
        </w:rPr>
        <w:t>the enforcement of</w:t>
      </w:r>
      <w:r w:rsidR="004976DF" w:rsidRPr="00B61423">
        <w:rPr>
          <w:b/>
          <w:sz w:val="28"/>
          <w:szCs w:val="28"/>
        </w:rPr>
        <w:t xml:space="preserve"> the Smoke-Free Environments Act</w:t>
      </w:r>
      <w:r w:rsidR="003964C5">
        <w:rPr>
          <w:b/>
          <w:sz w:val="28"/>
          <w:szCs w:val="28"/>
        </w:rPr>
        <w:t xml:space="preserve"> from University of Otago staff</w:t>
      </w:r>
    </w:p>
    <w:p w14:paraId="30E9EAB4" w14:textId="77777777" w:rsidR="004976DF" w:rsidRDefault="004976DF">
      <w:pPr>
        <w:rPr>
          <w:b/>
        </w:rPr>
      </w:pPr>
    </w:p>
    <w:p w14:paraId="18DDBFA7" w14:textId="77777777" w:rsidR="004976DF" w:rsidRPr="003D30B0" w:rsidRDefault="004976DF">
      <w:r w:rsidRPr="003D30B0">
        <w:t>Director General</w:t>
      </w:r>
      <w:r w:rsidR="00DB5437">
        <w:t xml:space="preserve">, </w:t>
      </w:r>
      <w:r w:rsidRPr="003D30B0">
        <w:t>Ministry of Health</w:t>
      </w:r>
    </w:p>
    <w:p w14:paraId="0E0E2F5B" w14:textId="2B0ADAAE" w:rsidR="004976DF" w:rsidRPr="004976DF" w:rsidRDefault="004976DF">
      <w:r>
        <w:t xml:space="preserve">May </w:t>
      </w:r>
      <w:r w:rsidR="00B6687E">
        <w:t>27</w:t>
      </w:r>
      <w:r>
        <w:t>, 2015</w:t>
      </w:r>
    </w:p>
    <w:p w14:paraId="513B66B0" w14:textId="77777777" w:rsidR="004976DF" w:rsidRDefault="004976DF">
      <w:pPr>
        <w:rPr>
          <w:b/>
        </w:rPr>
      </w:pPr>
    </w:p>
    <w:p w14:paraId="6EDF435A" w14:textId="77777777" w:rsidR="004976DF" w:rsidRDefault="004976DF">
      <w:r>
        <w:t>Dear Sir,</w:t>
      </w:r>
    </w:p>
    <w:p w14:paraId="0627D699" w14:textId="77777777" w:rsidR="004976DF" w:rsidRDefault="004976DF"/>
    <w:p w14:paraId="41606BA5" w14:textId="434DE1DC" w:rsidR="004976DF" w:rsidRPr="004976DF" w:rsidRDefault="006A189E">
      <w:r>
        <w:t>This is i</w:t>
      </w:r>
      <w:r w:rsidR="004976DF">
        <w:t xml:space="preserve">n response to the request for comments </w:t>
      </w:r>
      <w:r w:rsidR="00A53236">
        <w:t>of April 7</w:t>
      </w:r>
      <w:r w:rsidR="0018385E">
        <w:t>, 2015</w:t>
      </w:r>
      <w:r w:rsidR="00A53236">
        <w:t xml:space="preserve">, </w:t>
      </w:r>
      <w:r w:rsidR="004976DF">
        <w:t xml:space="preserve">on the Ministry’s proposed approach to deciding on where smoking will be allowed in semi-enclosed </w:t>
      </w:r>
      <w:r w:rsidR="005F0A45">
        <w:t xml:space="preserve">public and workplace </w:t>
      </w:r>
      <w:r w:rsidR="004976DF">
        <w:t>spaces</w:t>
      </w:r>
      <w:r>
        <w:t xml:space="preserve"> under the</w:t>
      </w:r>
      <w:r w:rsidRPr="006A189E">
        <w:t xml:space="preserve"> Smoke-Free Environments Act</w:t>
      </w:r>
      <w:r>
        <w:t xml:space="preserve"> (SFEA).</w:t>
      </w:r>
    </w:p>
    <w:p w14:paraId="2B0E7E65" w14:textId="77777777" w:rsidR="004976DF" w:rsidRDefault="004976DF"/>
    <w:p w14:paraId="6613C048" w14:textId="484C60A6" w:rsidR="005F0A45" w:rsidRDefault="005F0A45">
      <w:r>
        <w:t xml:space="preserve">Our proposal is about the protection of </w:t>
      </w:r>
      <w:r w:rsidR="00E01209">
        <w:t>people</w:t>
      </w:r>
      <w:r>
        <w:t xml:space="preserve"> </w:t>
      </w:r>
      <w:r w:rsidRPr="00BB451F">
        <w:rPr>
          <w:i/>
        </w:rPr>
        <w:t>indoors</w:t>
      </w:r>
      <w:r>
        <w:t xml:space="preserve">. </w:t>
      </w:r>
      <w:r w:rsidR="00245F55">
        <w:t>S</w:t>
      </w:r>
      <w:r>
        <w:t xml:space="preserve">moke from </w:t>
      </w:r>
      <w:r w:rsidRPr="005F0A45">
        <w:rPr>
          <w:i/>
        </w:rPr>
        <w:t>out</w:t>
      </w:r>
      <w:r>
        <w:rPr>
          <w:i/>
        </w:rPr>
        <w:t>doors</w:t>
      </w:r>
      <w:r>
        <w:t xml:space="preserve"> can affect people </w:t>
      </w:r>
      <w:r w:rsidRPr="005F0A45">
        <w:rPr>
          <w:i/>
        </w:rPr>
        <w:t>inside</w:t>
      </w:r>
      <w:r w:rsidR="00245F55">
        <w:t>. Therefore</w:t>
      </w:r>
      <w:r>
        <w:t xml:space="preserve">, </w:t>
      </w:r>
      <w:r w:rsidR="00A53236">
        <w:t>for the purpose of the SFEA</w:t>
      </w:r>
      <w:r w:rsidR="00511D5E">
        <w:t>,</w:t>
      </w:r>
      <w:r w:rsidR="00A53236">
        <w:t xml:space="preserve"> </w:t>
      </w:r>
      <w:r>
        <w:t>discussion about the exact definition of ‘</w:t>
      </w:r>
      <w:r w:rsidR="00451733">
        <w:t>in</w:t>
      </w:r>
      <w:r>
        <w:t>doors’ is arguably beside the point</w:t>
      </w:r>
      <w:r w:rsidR="00245F55">
        <w:t>. This is</w:t>
      </w:r>
      <w:r>
        <w:t xml:space="preserve"> because no matter how </w:t>
      </w:r>
      <w:r w:rsidR="00451733">
        <w:t>‘indoors’</w:t>
      </w:r>
      <w:r w:rsidR="00245F55">
        <w:t xml:space="preserve"> is </w:t>
      </w:r>
      <w:r w:rsidR="00A53236">
        <w:t xml:space="preserve">defined, </w:t>
      </w:r>
      <w:r w:rsidR="00B61423">
        <w:t xml:space="preserve">tobacco </w:t>
      </w:r>
      <w:r w:rsidR="00A53236">
        <w:t xml:space="preserve">smoke at or near openings </w:t>
      </w:r>
      <w:r w:rsidR="00245F55">
        <w:t>will drift</w:t>
      </w:r>
      <w:r w:rsidR="00A53236">
        <w:t xml:space="preserve"> inside</w:t>
      </w:r>
      <w:r>
        <w:t>.</w:t>
      </w:r>
    </w:p>
    <w:p w14:paraId="1EC470F6" w14:textId="77777777" w:rsidR="005F0A45" w:rsidRDefault="005F0A45"/>
    <w:p w14:paraId="712E48EF" w14:textId="77777777" w:rsidR="003D30B0" w:rsidRPr="003D30B0" w:rsidRDefault="003D30B0">
      <w:pPr>
        <w:rPr>
          <w:b/>
        </w:rPr>
      </w:pPr>
      <w:r>
        <w:rPr>
          <w:b/>
        </w:rPr>
        <w:t>Basis for our response</w:t>
      </w:r>
    </w:p>
    <w:p w14:paraId="17B0E22D" w14:textId="77777777" w:rsidR="00A53236" w:rsidRDefault="006A189E">
      <w:r>
        <w:t>We base our response on</w:t>
      </w:r>
      <w:r w:rsidR="00A53236">
        <w:t xml:space="preserve"> (i) legislative requirements and (ii) empirical evidence relevant to those legislative requirements. </w:t>
      </w:r>
    </w:p>
    <w:p w14:paraId="77E19ACE" w14:textId="77777777" w:rsidR="00A53236" w:rsidRDefault="00A53236"/>
    <w:p w14:paraId="24FCD576" w14:textId="77777777" w:rsidR="00A53236" w:rsidRPr="00A53236" w:rsidRDefault="00A53236">
      <w:pPr>
        <w:rPr>
          <w:i/>
        </w:rPr>
      </w:pPr>
      <w:r>
        <w:rPr>
          <w:i/>
        </w:rPr>
        <w:t>Legislation</w:t>
      </w:r>
    </w:p>
    <w:p w14:paraId="1295D6D4" w14:textId="0F760626" w:rsidR="003F2125" w:rsidRDefault="00A53236">
      <w:r>
        <w:t>The</w:t>
      </w:r>
      <w:r w:rsidR="006A189E">
        <w:t xml:space="preserve"> </w:t>
      </w:r>
      <w:r w:rsidR="003D30B0">
        <w:t xml:space="preserve">relevant sections of the SFEA </w:t>
      </w:r>
      <w:r>
        <w:t>are</w:t>
      </w:r>
      <w:r w:rsidR="006A189E">
        <w:t xml:space="preserve"> s.3A(1)</w:t>
      </w:r>
      <w:r w:rsidR="0078159B">
        <w:t>(</w:t>
      </w:r>
      <w:r w:rsidR="006A189E">
        <w:t>a</w:t>
      </w:r>
      <w:r w:rsidR="0078159B">
        <w:t>)</w:t>
      </w:r>
      <w:r w:rsidR="00DD672A">
        <w:t xml:space="preserve"> which states the first purpose of the Act</w:t>
      </w:r>
      <w:r w:rsidR="006A189E">
        <w:t xml:space="preserve">: </w:t>
      </w:r>
    </w:p>
    <w:p w14:paraId="195F3705" w14:textId="77777777" w:rsidR="003F2125" w:rsidRDefault="006A189E" w:rsidP="003F2125">
      <w:pPr>
        <w:ind w:left="720"/>
      </w:pPr>
      <w:r>
        <w:t>‘</w:t>
      </w:r>
      <w:r w:rsidRPr="006A189E">
        <w:t>to reduce the exposure of people who do not themselves smoke to any detrimental effect on their health caused by smoking by others</w:t>
      </w:r>
      <w:r>
        <w:t xml:space="preserve">’ </w:t>
      </w:r>
    </w:p>
    <w:p w14:paraId="74CE7089" w14:textId="77777777" w:rsidR="003F2125" w:rsidRDefault="006A189E" w:rsidP="003F2125">
      <w:r>
        <w:t xml:space="preserve">and </w:t>
      </w:r>
      <w:r w:rsidR="00DD672A">
        <w:t>Section 4</w:t>
      </w:r>
      <w:r w:rsidR="003F2125">
        <w:t>(a)</w:t>
      </w:r>
      <w:r w:rsidR="00DD672A">
        <w:t xml:space="preserve"> which states the first purpose of that Section</w:t>
      </w:r>
      <w:r>
        <w:t xml:space="preserve">: </w:t>
      </w:r>
    </w:p>
    <w:p w14:paraId="2EC0410A" w14:textId="77777777" w:rsidR="006A189E" w:rsidRDefault="006A189E" w:rsidP="003F2125">
      <w:pPr>
        <w:ind w:left="720"/>
      </w:pPr>
      <w:r>
        <w:t>‘</w:t>
      </w:r>
      <w:r w:rsidRPr="006A189E">
        <w:t>to prevent the detrimental effect of other people's smoking on the health of people in workplaces, or in certain public enclosed areas, who do not smoke or do not wish to smoke there</w:t>
      </w:r>
      <w:r>
        <w:t>’.</w:t>
      </w:r>
    </w:p>
    <w:p w14:paraId="208BED7C" w14:textId="77777777" w:rsidR="006A189E" w:rsidRDefault="006A189E"/>
    <w:p w14:paraId="33226126" w14:textId="77777777" w:rsidR="00A53236" w:rsidRPr="00A53236" w:rsidRDefault="00A53236">
      <w:pPr>
        <w:rPr>
          <w:i/>
        </w:rPr>
      </w:pPr>
      <w:r>
        <w:rPr>
          <w:i/>
        </w:rPr>
        <w:t>Relevant evidence</w:t>
      </w:r>
    </w:p>
    <w:p w14:paraId="48F5C3FF" w14:textId="33D33FBD" w:rsidR="002F516A" w:rsidRDefault="00A53236">
      <w:r>
        <w:t xml:space="preserve">This evidence is about the lack of protection </w:t>
      </w:r>
      <w:r w:rsidR="00DD672A">
        <w:t xml:space="preserve">for people </w:t>
      </w:r>
      <w:r w:rsidR="00DD672A" w:rsidRPr="00DD672A">
        <w:rPr>
          <w:i/>
        </w:rPr>
        <w:t>inside</w:t>
      </w:r>
      <w:r w:rsidR="00DD672A">
        <w:t xml:space="preserve"> from tobacco smoke pollution (TSP) produced </w:t>
      </w:r>
      <w:r w:rsidR="00DD672A" w:rsidRPr="00DD672A">
        <w:rPr>
          <w:i/>
        </w:rPr>
        <w:t>outside</w:t>
      </w:r>
      <w:r w:rsidR="00DD672A">
        <w:t xml:space="preserve">. </w:t>
      </w:r>
      <w:r w:rsidR="002F516A">
        <w:t>New Zealand research has found that</w:t>
      </w:r>
      <w:r w:rsidR="0048501F">
        <w:t>,</w:t>
      </w:r>
      <w:r w:rsidR="002F516A">
        <w:t xml:space="preserve"> where smoking is allowed at or near entrances </w:t>
      </w:r>
      <w:r w:rsidR="00245F55">
        <w:t xml:space="preserve">or windows </w:t>
      </w:r>
      <w:r w:rsidR="002F516A">
        <w:t xml:space="preserve">to public interiors, then those inside </w:t>
      </w:r>
      <w:r w:rsidR="00451733">
        <w:t>we</w:t>
      </w:r>
      <w:r w:rsidR="002F516A">
        <w:t>re exposed to TSP</w:t>
      </w:r>
      <w:r w:rsidR="0078159B">
        <w:t xml:space="preserve"> as</w:t>
      </w:r>
      <w:r w:rsidR="003F2125">
        <w:t xml:space="preserve"> indicated by </w:t>
      </w:r>
      <w:r w:rsidR="00B61423">
        <w:t xml:space="preserve">fine </w:t>
      </w:r>
      <w:r w:rsidR="00B61423" w:rsidRPr="002F516A">
        <w:t>particulate levels</w:t>
      </w:r>
      <w:r w:rsidR="00B61423">
        <w:t xml:space="preserve"> (</w:t>
      </w:r>
      <w:r w:rsidR="003F2125" w:rsidRPr="00626B14">
        <w:t>PM</w:t>
      </w:r>
      <w:r w:rsidR="003F2125" w:rsidRPr="00B901EC">
        <w:rPr>
          <w:vertAlign w:val="subscript"/>
        </w:rPr>
        <w:t>2.5</w:t>
      </w:r>
      <w:r w:rsidR="003F2125" w:rsidRPr="00626B14">
        <w:t xml:space="preserve">) </w:t>
      </w:r>
      <w:r w:rsidR="003F2125">
        <w:t>‘</w:t>
      </w:r>
      <w:r w:rsidR="002F516A" w:rsidRPr="002F516A">
        <w:t>with a mean of 54 mcg/m</w:t>
      </w:r>
      <w:r w:rsidR="002F516A" w:rsidRPr="00B901EC">
        <w:rPr>
          <w:vertAlign w:val="superscript"/>
        </w:rPr>
        <w:t>3</w:t>
      </w:r>
      <w:r w:rsidR="002F516A" w:rsidRPr="002F516A">
        <w:t xml:space="preserve"> (range of maximum values: 18-2</w:t>
      </w:r>
      <w:r w:rsidR="00626B14">
        <w:t>39 mcg/m</w:t>
      </w:r>
      <w:r w:rsidR="00626B14" w:rsidRPr="00B901EC">
        <w:rPr>
          <w:vertAlign w:val="superscript"/>
        </w:rPr>
        <w:t>3</w:t>
      </w:r>
      <w:r w:rsidR="002F516A" w:rsidRPr="002F516A">
        <w:t>)</w:t>
      </w:r>
      <w:r w:rsidR="003F2125">
        <w:t>’</w:t>
      </w:r>
      <w:r w:rsidR="002F516A" w:rsidRPr="002F516A">
        <w:t>.</w:t>
      </w:r>
      <w:r w:rsidR="002F516A"/>
      <w:r w:rsidR="002F516A">
        <w:instrText xml:space="preserve"/>
      </w:r>
      <w:r w:rsidR="002F516A"/>
      <w:r w:rsidR="002F516A">
        <w:instrText xml:space="preserve"/>
      </w:r>
      <w:r w:rsidR="002F516A"/>
      <w:r w:rsidR="002F516A"/>
      <w:r w:rsidR="002F516A" w:rsidRPr="002F516A">
        <w:rPr>
          <w:noProof/>
          <w:vertAlign w:val="superscript"/>
        </w:rPr>
        <w:t>1</w:t>
      </w:r>
      <w:r w:rsidR="002F516A"/>
      <w:r w:rsidR="00B901EC">
        <w:t xml:space="preserve"> A furt</w:t>
      </w:r>
      <w:r w:rsidR="0078159B">
        <w:t xml:space="preserve">her separate study </w:t>
      </w:r>
      <w:r w:rsidR="006C7FD0">
        <w:t xml:space="preserve">also </w:t>
      </w:r>
      <w:r w:rsidR="0078159B">
        <w:t>found T</w:t>
      </w:r>
      <w:r w:rsidR="00B901EC">
        <w:t>S</w:t>
      </w:r>
      <w:r w:rsidR="0078159B">
        <w:t>P</w:t>
      </w:r>
      <w:r w:rsidR="00B901EC">
        <w:t xml:space="preserve"> smoke drift into interiors from outside</w:t>
      </w:r>
      <w:r w:rsidR="006C7FD0">
        <w:t xml:space="preserve">, and this increased </w:t>
      </w:r>
      <w:r w:rsidR="006C7FD0" w:rsidRPr="006C7FD0">
        <w:t>when increased smoking patronage was observed in the outdoor area</w:t>
      </w:r>
      <w:r w:rsidR="00B901EC">
        <w:t>.</w:t>
      </w:r>
      <w:r w:rsidR="00B901EC"/>
      <w:r w:rsidR="00B901EC">
        <w:instrText xml:space="preserve"/>
      </w:r>
      <w:r w:rsidR="00B901EC"/>
      <w:r w:rsidR="00B901EC" w:rsidRPr="00B901EC">
        <w:rPr>
          <w:noProof/>
          <w:vertAlign w:val="superscript"/>
        </w:rPr>
        <w:t>2</w:t>
      </w:r>
      <w:r w:rsidR="00B901EC"/>
      <w:r w:rsidR="00245F55">
        <w:t xml:space="preserve"> An international review has confirmed this</w:t>
      </w:r>
      <w:r w:rsidR="00451733">
        <w:t xml:space="preserve"> smoke drift</w:t>
      </w:r>
      <w:r w:rsidR="00245F55">
        <w:t>.</w:t>
      </w:r>
      <w:r w:rsidR="00245F55"/>
      <w:r w:rsidR="00245F55">
        <w:instrText xml:space="preserve"/>
      </w:r>
      <w:r w:rsidR="00245F55"/>
      <w:r w:rsidR="00245F55" w:rsidRPr="00245F55">
        <w:rPr>
          <w:noProof/>
          <w:vertAlign w:val="superscript"/>
        </w:rPr>
        <w:t>3</w:t>
      </w:r>
      <w:r w:rsidR="00245F55"/>
    </w:p>
    <w:p w14:paraId="176CFBA2" w14:textId="77777777" w:rsidR="002F516A" w:rsidRDefault="002F516A"/>
    <w:p w14:paraId="58E35787" w14:textId="77777777" w:rsidR="0048501F" w:rsidRPr="0048501F" w:rsidRDefault="0048501F">
      <w:pPr>
        <w:rPr>
          <w:i/>
        </w:rPr>
      </w:pPr>
      <w:r>
        <w:rPr>
          <w:i/>
        </w:rPr>
        <w:t>Implications of the evidence for the achievement of the legislative requirements</w:t>
      </w:r>
    </w:p>
    <w:p w14:paraId="24A1AD90" w14:textId="013499CC" w:rsidR="00B25477" w:rsidRDefault="003F2125" w:rsidP="005E7E0C">
      <w:r>
        <w:t xml:space="preserve">The findings on indoor TSP caused by smoke drift from ‘outdoor’ areas means that the </w:t>
      </w:r>
      <w:r w:rsidR="0078159B">
        <w:rPr>
          <w:i/>
        </w:rPr>
        <w:t>consequence</w:t>
      </w:r>
      <w:r>
        <w:t xml:space="preserve"> of smoking </w:t>
      </w:r>
      <w:r w:rsidR="00DD04DD">
        <w:t xml:space="preserve">outside near openings to the interior </w:t>
      </w:r>
      <w:r w:rsidR="0048501F">
        <w:t>conflicts with</w:t>
      </w:r>
      <w:r>
        <w:t xml:space="preserve"> the relevant purposes of the SFEA.</w:t>
      </w:r>
      <w:r w:rsidR="00E15D6E">
        <w:t xml:space="preserve"> </w:t>
      </w:r>
      <w:r w:rsidR="0048501F">
        <w:t xml:space="preserve">Thus the definition of ‘internal area’ is only relevant in establishing the locations of opening to the ‘internal area’. </w:t>
      </w:r>
      <w:r w:rsidR="0078159B">
        <w:t>T</w:t>
      </w:r>
      <w:r w:rsidR="00E15D6E">
        <w:t>he</w:t>
      </w:r>
      <w:r w:rsidR="0078159B">
        <w:t>refore the</w:t>
      </w:r>
      <w:r w:rsidR="00E15D6E">
        <w:t xml:space="preserve"> </w:t>
      </w:r>
      <w:r w:rsidR="0048501F">
        <w:t xml:space="preserve">focus on </w:t>
      </w:r>
      <w:r w:rsidR="00B25477">
        <w:t xml:space="preserve">enabling the </w:t>
      </w:r>
      <w:r w:rsidR="0048501F">
        <w:t>enforc</w:t>
      </w:r>
      <w:r w:rsidR="00B25477">
        <w:t>ement of</w:t>
      </w:r>
      <w:r w:rsidR="0048501F">
        <w:t xml:space="preserve"> the SFEA </w:t>
      </w:r>
      <w:r w:rsidR="00B25477">
        <w:t>needs to be on ensuring smoke does</w:t>
      </w:r>
      <w:r w:rsidR="00E571BD">
        <w:t xml:space="preserve"> not enter the ‘internal area’.</w:t>
      </w:r>
    </w:p>
    <w:p w14:paraId="698C26C8" w14:textId="77777777" w:rsidR="00511D5E" w:rsidRDefault="00511D5E" w:rsidP="005E7E0C"/>
    <w:p w14:paraId="40B8ACB5" w14:textId="79B2763E" w:rsidR="005E7E0C" w:rsidRDefault="00794E0F" w:rsidP="005E7E0C">
      <w:r>
        <w:lastRenderedPageBreak/>
        <w:t>E</w:t>
      </w:r>
      <w:r w:rsidR="00511D5E">
        <w:t>ffective</w:t>
      </w:r>
      <w:r w:rsidR="003F2125">
        <w:t xml:space="preserve"> reduc</w:t>
      </w:r>
      <w:r>
        <w:t>tion of</w:t>
      </w:r>
      <w:r w:rsidR="003F2125">
        <w:t xml:space="preserve"> this indoor TSP </w:t>
      </w:r>
      <w:r>
        <w:t xml:space="preserve">(derived from outdoor TSP) </w:t>
      </w:r>
      <w:r w:rsidR="003F2125">
        <w:t xml:space="preserve">requires an exclusion smokefree zone around any </w:t>
      </w:r>
      <w:r w:rsidR="000A1A50">
        <w:t>openings into indoor areas</w:t>
      </w:r>
      <w:r w:rsidR="003F2125">
        <w:t xml:space="preserve"> used by the public. This </w:t>
      </w:r>
      <w:r w:rsidR="00DB5437">
        <w:t xml:space="preserve">best practice </w:t>
      </w:r>
      <w:r w:rsidR="003F2125">
        <w:t>approach has been extensively</w:t>
      </w:r>
      <w:r w:rsidR="005E7E0C">
        <w:t xml:space="preserve"> used in other jurisdictions, including Queensland,</w:t>
      </w:r>
      <w:r w:rsidR="005E7E0C"/>
      <w:r w:rsidR="006C7FD0">
        <w:instrText xml:space="preserve"/>
      </w:r>
      <w:r w:rsidR="005E7E0C"/>
      <w:r w:rsidR="006C7FD0" w:rsidRPr="006C7FD0">
        <w:rPr>
          <w:noProof/>
          <w:vertAlign w:val="superscript"/>
        </w:rPr>
        <w:t>4</w:t>
      </w:r>
      <w:r w:rsidR="005E7E0C"/>
      <w:r w:rsidR="005E7E0C">
        <w:t xml:space="preserve"> from July 2015 in New South Wales,</w:t>
      </w:r>
      <w:r w:rsidR="005E7E0C"/>
      <w:r w:rsidR="006C7FD0">
        <w:instrText xml:space="preserve"/>
      </w:r>
      <w:r w:rsidR="005E7E0C"/>
      <w:r w:rsidR="006C7FD0" w:rsidRPr="006C7FD0">
        <w:rPr>
          <w:noProof/>
          <w:vertAlign w:val="superscript"/>
        </w:rPr>
        <w:t>5</w:t>
      </w:r>
      <w:r w:rsidR="005E7E0C"/>
      <w:r w:rsidR="003F2125">
        <w:t xml:space="preserve"> </w:t>
      </w:r>
      <w:r w:rsidR="005E7E0C">
        <w:t>a number of states and cities in the USA</w:t>
      </w:r>
      <w:r w:rsidR="00C37563">
        <w:t>,</w:t>
      </w:r>
      <w:r w:rsidR="00C37563"/>
      <w:r w:rsidR="006C7FD0">
        <w:instrText xml:space="preserve"/>
      </w:r>
      <w:r w:rsidR="00C37563"/>
      <w:r w:rsidR="006C7FD0" w:rsidRPr="006C7FD0">
        <w:rPr>
          <w:noProof/>
          <w:vertAlign w:val="superscript"/>
        </w:rPr>
        <w:t>6</w:t>
      </w:r>
      <w:r w:rsidR="00C37563"/>
      <w:r w:rsidR="005E7E0C">
        <w:t xml:space="preserve">  and a number of Canadian provinces and cities in Canada.</w:t>
      </w:r>
      <w:r w:rsidR="005E7E0C"/>
      <w:r w:rsidR="006C7FD0">
        <w:instrText xml:space="preserve"/>
      </w:r>
      <w:r w:rsidR="005E7E0C"/>
      <w:r w:rsidR="006C7FD0" w:rsidRPr="006C7FD0">
        <w:rPr>
          <w:noProof/>
          <w:vertAlign w:val="superscript"/>
        </w:rPr>
        <w:t>7</w:t>
      </w:r>
      <w:r w:rsidR="005E7E0C"/>
      <w:r w:rsidR="005E7E0C">
        <w:t xml:space="preserve"> </w:t>
      </w:r>
      <w:r w:rsidR="007169DB">
        <w:t xml:space="preserve">We would be happy to provide further details on the successful implementation and use elsewhere of this best practice policy. </w:t>
      </w:r>
    </w:p>
    <w:p w14:paraId="07C684BB" w14:textId="77777777" w:rsidR="006A189E" w:rsidRDefault="006A189E"/>
    <w:p w14:paraId="65DEBFC4" w14:textId="77777777" w:rsidR="003D30B0" w:rsidRPr="003D30B0" w:rsidRDefault="003D30B0">
      <w:pPr>
        <w:rPr>
          <w:b/>
        </w:rPr>
      </w:pPr>
      <w:r>
        <w:rPr>
          <w:b/>
        </w:rPr>
        <w:t>Recommendations</w:t>
      </w:r>
      <w:r w:rsidR="00794E0F">
        <w:rPr>
          <w:b/>
        </w:rPr>
        <w:t xml:space="preserve"> for the enforcement of the purposes of the Act, to protect people inside</w:t>
      </w:r>
    </w:p>
    <w:p w14:paraId="2D6FA722" w14:textId="17118738" w:rsidR="00B25477" w:rsidRDefault="008D3B4A">
      <w:r>
        <w:t xml:space="preserve">We therefore recommend the use of the international best practice policies for reducing TSP in </w:t>
      </w:r>
      <w:r>
        <w:rPr>
          <w:i/>
        </w:rPr>
        <w:t>indoor</w:t>
      </w:r>
      <w:r>
        <w:t xml:space="preserve"> workplaces by requiring 10 metre smokefree zones </w:t>
      </w:r>
      <w:r w:rsidRPr="008D3B4A">
        <w:t xml:space="preserve">around any </w:t>
      </w:r>
      <w:r w:rsidR="00FD54E1">
        <w:t xml:space="preserve">openings </w:t>
      </w:r>
      <w:r>
        <w:t xml:space="preserve">to </w:t>
      </w:r>
      <w:r w:rsidR="00FD54E1">
        <w:t xml:space="preserve">indoor </w:t>
      </w:r>
      <w:r>
        <w:t xml:space="preserve">workplaces and places used by the public. </w:t>
      </w:r>
      <w:r w:rsidR="00B25477">
        <w:t>As there is no safe level of TSP,</w:t>
      </w:r>
      <w:r w:rsidR="00B25477"/>
      <w:r w:rsidR="006C7FD0">
        <w:instrText xml:space="preserve"/>
      </w:r>
      <w:r w:rsidR="00B25477"/>
      <w:r w:rsidR="006C7FD0" w:rsidRPr="006C7FD0">
        <w:rPr>
          <w:noProof/>
          <w:vertAlign w:val="superscript"/>
        </w:rPr>
        <w:t>8</w:t>
      </w:r>
      <w:r w:rsidR="00B25477"/>
      <w:r w:rsidR="00B25477">
        <w:t xml:space="preserve"> this 10 metre </w:t>
      </w:r>
      <w:r w:rsidR="00511D5E">
        <w:t>d</w:t>
      </w:r>
      <w:r w:rsidR="00B25477">
        <w:t>istance is needed to ensure a minimum of TSP movement into interior spaces</w:t>
      </w:r>
      <w:r w:rsidR="00272FDB">
        <w:t>,</w:t>
      </w:r>
      <w:r w:rsidR="00B25477">
        <w:t xml:space="preserve"> </w:t>
      </w:r>
      <w:r w:rsidR="00511D5E">
        <w:t>so as</w:t>
      </w:r>
      <w:r w:rsidR="006C7FD0">
        <w:t xml:space="preserve"> comply with the SFEA</w:t>
      </w:r>
      <w:r w:rsidR="00511D5E">
        <w:t xml:space="preserve"> </w:t>
      </w:r>
      <w:r w:rsidR="00B25477">
        <w:t xml:space="preserve">‘to prevent </w:t>
      </w:r>
      <w:r w:rsidR="00B25477" w:rsidRPr="006A189E">
        <w:t>the detrimental effect of other people's smoking</w:t>
      </w:r>
      <w:r w:rsidR="00B25477">
        <w:t>’(SFEA s.4(a)).</w:t>
      </w:r>
    </w:p>
    <w:p w14:paraId="2F6B9087" w14:textId="77777777" w:rsidR="00B25477" w:rsidRDefault="00B25477"/>
    <w:p w14:paraId="4C946854" w14:textId="23AC9C3B" w:rsidR="00F877E3" w:rsidRDefault="008D3B4A">
      <w:r>
        <w:t xml:space="preserve">We suggest that any Ministry policy that allows TSP in </w:t>
      </w:r>
      <w:r w:rsidRPr="008B30D0">
        <w:rPr>
          <w:i/>
        </w:rPr>
        <w:t>indoor</w:t>
      </w:r>
      <w:r w:rsidR="002079FA">
        <w:t xml:space="preserve"> places</w:t>
      </w:r>
      <w:r>
        <w:t xml:space="preserve"> </w:t>
      </w:r>
      <w:r w:rsidR="002079FA">
        <w:t xml:space="preserve">(even where that smoke is not produced inside) </w:t>
      </w:r>
      <w:r w:rsidR="00FD54E1">
        <w:t xml:space="preserve">is </w:t>
      </w:r>
      <w:r>
        <w:t xml:space="preserve">in contravention of the relevant purposes of the SFEA, </w:t>
      </w:r>
      <w:r w:rsidR="00FD54E1">
        <w:t xml:space="preserve">and </w:t>
      </w:r>
      <w:r>
        <w:t>will be open to judicial review.</w:t>
      </w:r>
    </w:p>
    <w:p w14:paraId="74733DD2" w14:textId="77777777" w:rsidR="00927319" w:rsidRDefault="00927319"/>
    <w:p w14:paraId="483B2C0D" w14:textId="7CB58516" w:rsidR="003D30B0" w:rsidRPr="003D30B0" w:rsidRDefault="005A5514">
      <w:pPr>
        <w:rPr>
          <w:b/>
        </w:rPr>
      </w:pPr>
      <w:r>
        <w:rPr>
          <w:b/>
        </w:rPr>
        <w:t>Summary of our c</w:t>
      </w:r>
      <w:r w:rsidR="003D30B0">
        <w:rPr>
          <w:b/>
        </w:rPr>
        <w:t xml:space="preserve">oncerns with the </w:t>
      </w:r>
      <w:r>
        <w:rPr>
          <w:b/>
        </w:rPr>
        <w:t xml:space="preserve">current </w:t>
      </w:r>
      <w:r w:rsidR="003D30B0">
        <w:rPr>
          <w:b/>
        </w:rPr>
        <w:t>proposal</w:t>
      </w:r>
      <w:r>
        <w:rPr>
          <w:b/>
        </w:rPr>
        <w:t xml:space="preserve"> by the Ministry</w:t>
      </w:r>
    </w:p>
    <w:p w14:paraId="2115C1D2" w14:textId="77777777" w:rsidR="00F877E3" w:rsidRDefault="003D30B0" w:rsidP="00F877E3">
      <w:r>
        <w:t>Our concerns include</w:t>
      </w:r>
      <w:r w:rsidR="00F877E3">
        <w:t>:</w:t>
      </w:r>
    </w:p>
    <w:p w14:paraId="5AB9599F" w14:textId="16CA5454" w:rsidR="003D30B0" w:rsidRDefault="003D30B0" w:rsidP="003D30B0">
      <w:pPr>
        <w:pStyle w:val="ListParagraph"/>
        <w:numPr>
          <w:ilvl w:val="0"/>
          <w:numId w:val="2"/>
        </w:numPr>
        <w:ind w:left="720"/>
      </w:pPr>
      <w:r>
        <w:t>Th</w:t>
      </w:r>
      <w:r w:rsidR="003964C5">
        <w:t>e</w:t>
      </w:r>
      <w:r>
        <w:t xml:space="preserve"> lack of reference to the purposes of the SFEA</w:t>
      </w:r>
    </w:p>
    <w:p w14:paraId="13B01BC8" w14:textId="7B04527F" w:rsidR="002079FA" w:rsidRDefault="00F877E3" w:rsidP="003D30B0">
      <w:pPr>
        <w:pStyle w:val="ListParagraph"/>
        <w:numPr>
          <w:ilvl w:val="0"/>
          <w:numId w:val="2"/>
        </w:numPr>
        <w:ind w:left="720"/>
      </w:pPr>
      <w:r>
        <w:t>T</w:t>
      </w:r>
      <w:r w:rsidR="003D30B0">
        <w:t>he</w:t>
      </w:r>
      <w:r>
        <w:t xml:space="preserve"> us</w:t>
      </w:r>
      <w:r w:rsidR="003D30B0">
        <w:t xml:space="preserve">e of a very limited range of </w:t>
      </w:r>
      <w:r>
        <w:t xml:space="preserve">precedents from other jurisdictions </w:t>
      </w:r>
    </w:p>
    <w:p w14:paraId="27EDAB23" w14:textId="2E9681E6" w:rsidR="00FD54E1" w:rsidRDefault="00FD54E1" w:rsidP="003D30B0">
      <w:pPr>
        <w:pStyle w:val="ListParagraph"/>
        <w:numPr>
          <w:ilvl w:val="0"/>
          <w:numId w:val="2"/>
        </w:numPr>
        <w:ind w:left="720"/>
      </w:pPr>
      <w:r>
        <w:t>The lack of attention to the issue of smoking in external areas creating hazardous air pollution for people in indoor workplaces and public spaces</w:t>
      </w:r>
      <w:r w:rsidR="006C7FD0">
        <w:t xml:space="preserve">, in contradiction to the </w:t>
      </w:r>
      <w:r w:rsidR="00713609">
        <w:t>SFEA</w:t>
      </w:r>
    </w:p>
    <w:p w14:paraId="66267429" w14:textId="72FF4B21" w:rsidR="003D30B0" w:rsidRDefault="002079FA" w:rsidP="003D30B0">
      <w:pPr>
        <w:pStyle w:val="ListParagraph"/>
        <w:numPr>
          <w:ilvl w:val="0"/>
          <w:numId w:val="2"/>
        </w:numPr>
        <w:ind w:left="720"/>
      </w:pPr>
      <w:r>
        <w:t xml:space="preserve">The resulting </w:t>
      </w:r>
      <w:r w:rsidR="00713609">
        <w:t>omissions</w:t>
      </w:r>
      <w:r>
        <w:t xml:space="preserve"> of proposed policies</w:t>
      </w:r>
      <w:r w:rsidR="00F877E3">
        <w:t xml:space="preserve"> that will best </w:t>
      </w:r>
      <w:r w:rsidR="00532418">
        <w:t xml:space="preserve">comply with and help achieve </w:t>
      </w:r>
      <w:r w:rsidR="00F877E3">
        <w:t xml:space="preserve">the purpose of the Act. </w:t>
      </w:r>
    </w:p>
    <w:p w14:paraId="6C43450C" w14:textId="77777777" w:rsidR="00F877E3" w:rsidRDefault="00F877E3" w:rsidP="00F877E3"/>
    <w:p w14:paraId="6BBCDCBC" w14:textId="77777777" w:rsidR="005A5514" w:rsidRDefault="005A5514" w:rsidP="00F877E3">
      <w:r>
        <w:t>Thank you for considering this letter.</w:t>
      </w:r>
    </w:p>
    <w:p w14:paraId="476D1068" w14:textId="77777777" w:rsidR="005A5514" w:rsidRDefault="005A5514" w:rsidP="00F877E3"/>
    <w:p w14:paraId="3E1B4637" w14:textId="77777777" w:rsidR="003D30B0" w:rsidRDefault="00E15D6E" w:rsidP="00F877E3">
      <w:r>
        <w:t>Yours sincerely,</w:t>
      </w:r>
    </w:p>
    <w:p w14:paraId="37617D0E" w14:textId="77777777" w:rsidR="00E15D6E" w:rsidRDefault="00E15D6E" w:rsidP="00F877E3"/>
    <w:p w14:paraId="5CB2438C" w14:textId="77777777" w:rsidR="002F516A" w:rsidRDefault="005A5514" w:rsidP="00F877E3">
      <w:r>
        <w:t xml:space="preserve">Associate Professor George Thomson (Email: </w:t>
      </w:r>
      <w:hyperlink r:id="rId7" w:history="1">
        <w:r w:rsidRPr="00BC15F5">
          <w:rPr>
            <w:rStyle w:val="Hyperlink"/>
          </w:rPr>
          <w:t>George.thomson@otago.ac.nz</w:t>
        </w:r>
      </w:hyperlink>
      <w:r>
        <w:t>)</w:t>
      </w:r>
    </w:p>
    <w:p w14:paraId="3DD640FA" w14:textId="77777777" w:rsidR="005A5514" w:rsidRDefault="005A5514" w:rsidP="005A5514">
      <w:r>
        <w:t>Associate Professor Nick Wilson</w:t>
      </w:r>
    </w:p>
    <w:p w14:paraId="2B962875" w14:textId="3A9AE0C1" w:rsidR="001C52B7" w:rsidRDefault="001C52B7" w:rsidP="005A5514">
      <w:r>
        <w:t>Senior Lecturer Louise Delany</w:t>
      </w:r>
    </w:p>
    <w:p w14:paraId="6EB1E7AE" w14:textId="2CE75BA7" w:rsidR="00FC341D" w:rsidRDefault="00713609" w:rsidP="00F877E3">
      <w:r w:rsidRPr="00713609">
        <w:t>Professor R</w:t>
      </w:r>
      <w:r>
        <w:t>ichard Edwards</w:t>
      </w:r>
    </w:p>
    <w:p w14:paraId="315E6507" w14:textId="3F43A2E7" w:rsidR="00451733" w:rsidRDefault="00451733" w:rsidP="00F877E3">
      <w:r>
        <w:t>Frederieke Sanne van der Deen,</w:t>
      </w:r>
      <w:r w:rsidRPr="00451733">
        <w:t xml:space="preserve"> PhD Candidate</w:t>
      </w:r>
    </w:p>
    <w:p w14:paraId="4BB552C0" w14:textId="0E8DD9FC" w:rsidR="00EF2285" w:rsidRDefault="003964C5" w:rsidP="00F877E3">
      <w:r>
        <w:t>University of Otago, Wellington</w:t>
      </w:r>
    </w:p>
    <w:p w14:paraId="20CD477F" w14:textId="77777777" w:rsidR="00451733" w:rsidRDefault="00451733" w:rsidP="00F877E3"/>
    <w:p w14:paraId="3A11EDA1" w14:textId="77777777" w:rsidR="003D30B0" w:rsidRDefault="003D30B0" w:rsidP="00F877E3">
      <w:pPr>
        <w:rPr>
          <w:b/>
        </w:rPr>
      </w:pPr>
      <w:r>
        <w:rPr>
          <w:b/>
        </w:rPr>
        <w:t xml:space="preserve">References </w:t>
      </w:r>
    </w:p>
    <w:p w14:paraId="5CD61739" w14:textId="77777777" w:rsidR="005A5514" w:rsidRPr="003D30B0" w:rsidRDefault="005A5514" w:rsidP="00F877E3">
      <w:pPr>
        <w:rPr>
          <w:b/>
        </w:rPr>
      </w:pPr>
    </w:p>
    <w:p w14:paraId="30647754" w14:textId="2C17BB3C" w:rsidR="006C7FD0" w:rsidRPr="006C7FD0" w:rsidRDefault="002F516A" w:rsidP="006C7FD0">
      <w:pPr>
        <w:pStyle w:val="EndNoteBibliography"/>
        <w:ind w:left="720" w:hanging="720"/>
      </w:pPr>
      <w:r/>
      <w:r>
        <w:instrText xml:space="preserve"/>
      </w:r>
      <w:r/>
      <w:r w:rsidR="006C7FD0" w:rsidRPr="006C7FD0">
        <w:t>1.</w:t>
      </w:r>
      <w:r w:rsidR="006C7FD0" w:rsidRPr="006C7FD0">
        <w:tab/>
        <w:t xml:space="preserve">Wilson N, Edwards R, Parry R. A persisting secondhand smoke hazard in urban public places: results from fine particulate (PM2.5) air sampling. </w:t>
      </w:r>
      <w:r w:rsidR="006C7FD0" w:rsidRPr="006C7FD0">
        <w:rPr>
          <w:i/>
        </w:rPr>
        <w:t>N</w:t>
      </w:r>
      <w:r w:rsidR="008372A1">
        <w:rPr>
          <w:i/>
        </w:rPr>
        <w:t xml:space="preserve"> </w:t>
      </w:r>
      <w:r w:rsidR="006C7FD0" w:rsidRPr="006C7FD0">
        <w:rPr>
          <w:i/>
        </w:rPr>
        <w:t>Z</w:t>
      </w:r>
      <w:r w:rsidR="00EC5FA3">
        <w:rPr>
          <w:i/>
        </w:rPr>
        <w:t xml:space="preserve"> </w:t>
      </w:r>
      <w:r w:rsidR="006C7FD0" w:rsidRPr="006C7FD0">
        <w:rPr>
          <w:i/>
        </w:rPr>
        <w:t>Med</w:t>
      </w:r>
      <w:r w:rsidR="008372A1">
        <w:rPr>
          <w:i/>
        </w:rPr>
        <w:t xml:space="preserve"> </w:t>
      </w:r>
      <w:r w:rsidR="006C7FD0" w:rsidRPr="006C7FD0">
        <w:rPr>
          <w:i/>
        </w:rPr>
        <w:t>J</w:t>
      </w:r>
      <w:r w:rsidR="006C7FD0" w:rsidRPr="006C7FD0">
        <w:t xml:space="preserve"> 2011;124:34-47.</w:t>
      </w:r>
    </w:p>
    <w:p w14:paraId="7C17D32C" w14:textId="2576C9B6" w:rsidR="006C7FD0" w:rsidRPr="006C7FD0" w:rsidRDefault="006C7FD0" w:rsidP="006C7FD0">
      <w:pPr>
        <w:pStyle w:val="EndNoteBibliography"/>
        <w:ind w:left="720" w:hanging="720"/>
      </w:pPr>
      <w:r w:rsidRPr="006C7FD0">
        <w:t>2.</w:t>
      </w:r>
      <w:r w:rsidRPr="006C7FD0">
        <w:tab/>
        <w:t>van der Deen FS, Pearson AL, Petrovi</w:t>
      </w:r>
      <w:r w:rsidR="008A28F7">
        <w:t>ć</w:t>
      </w:r>
      <w:r w:rsidRPr="006C7FD0">
        <w:t xml:space="preserve"> D, et al. Exploring the potential for the drift of secondhand smoke from outdoor to indoor dining areas of restaurants in New Zealand. </w:t>
      </w:r>
      <w:r w:rsidRPr="006C7FD0">
        <w:rPr>
          <w:i/>
        </w:rPr>
        <w:t>N Z Med J</w:t>
      </w:r>
      <w:r w:rsidRPr="006C7FD0">
        <w:t xml:space="preserve"> 2014;127:43-52.</w:t>
      </w:r>
    </w:p>
    <w:p w14:paraId="2D4BACAD" w14:textId="77777777" w:rsidR="006C7FD0" w:rsidRPr="006C7FD0" w:rsidRDefault="006C7FD0" w:rsidP="006C7FD0">
      <w:pPr>
        <w:pStyle w:val="EndNoteBibliography"/>
        <w:ind w:left="720" w:hanging="720"/>
      </w:pPr>
      <w:r w:rsidRPr="006C7FD0">
        <w:lastRenderedPageBreak/>
        <w:t>3.</w:t>
      </w:r>
      <w:r w:rsidRPr="006C7FD0">
        <w:tab/>
        <w:t xml:space="preserve">Sureda X, Fernandez E, Lopez MJ, et al. Secondhand tobacco smoke exposure in open and semi-open settings: a systematic review. </w:t>
      </w:r>
      <w:r w:rsidRPr="006C7FD0">
        <w:rPr>
          <w:i/>
        </w:rPr>
        <w:t>Environ Health Perspect</w:t>
      </w:r>
      <w:r w:rsidRPr="006C7FD0">
        <w:t xml:space="preserve"> 2013;121:766-73.</w:t>
      </w:r>
    </w:p>
    <w:p w14:paraId="4BF98C47" w14:textId="59250795" w:rsidR="006C7FD0" w:rsidRPr="006C7FD0" w:rsidRDefault="006C7FD0" w:rsidP="006C7FD0">
      <w:pPr>
        <w:pStyle w:val="EndNoteBibliography"/>
        <w:ind w:left="720" w:hanging="720"/>
      </w:pPr>
      <w:r w:rsidRPr="006C7FD0">
        <w:t>4.</w:t>
      </w:r>
      <w:r w:rsidRPr="006C7FD0">
        <w:tab/>
        <w:t xml:space="preserve">Queensland Health. Outdoor public areas. Queensland Health. Brisbane. June 2006. Accessed 20 May, 2015. </w:t>
      </w:r>
      <w:hyperlink r:id="rId8" w:history="1">
        <w:r w:rsidRPr="006C7FD0">
          <w:rPr>
            <w:rStyle w:val="Hyperlink"/>
          </w:rPr>
          <w:t>http://www.health.qld.gov.au/public-health/topics/atod/tobacco-laws/outdoor/default.asp</w:t>
        </w:r>
      </w:hyperlink>
      <w:r w:rsidRPr="006C7FD0">
        <w:t>.</w:t>
      </w:r>
    </w:p>
    <w:p w14:paraId="46D6E9E7" w14:textId="748F66B2" w:rsidR="006C7FD0" w:rsidRPr="006C7FD0" w:rsidRDefault="006C7FD0" w:rsidP="006C7FD0">
      <w:pPr>
        <w:pStyle w:val="EndNoteBibliography"/>
        <w:ind w:left="720" w:hanging="720"/>
      </w:pPr>
      <w:r w:rsidRPr="006C7FD0">
        <w:t>5.</w:t>
      </w:r>
      <w:r w:rsidRPr="006C7FD0">
        <w:tab/>
        <w:t xml:space="preserve">New South Wales Health. The smokefree bars and restaurants legislation. New South Wales Health. Sydney. 2015. Accessed March 2, 2015. </w:t>
      </w:r>
      <w:hyperlink r:id="rId9" w:history="1">
        <w:r w:rsidRPr="006C7FD0">
          <w:rPr>
            <w:rStyle w:val="Hyperlink"/>
          </w:rPr>
          <w:t>http://www.health.nsw.gov.au/tobacco/Documents/commercial-outdoor-dining.pdf</w:t>
        </w:r>
      </w:hyperlink>
      <w:r w:rsidRPr="006C7FD0">
        <w:t>.</w:t>
      </w:r>
    </w:p>
    <w:p w14:paraId="61BC3849" w14:textId="7CA0CF5E" w:rsidR="006C7FD0" w:rsidRPr="006C7FD0" w:rsidRDefault="006C7FD0" w:rsidP="006C7FD0">
      <w:pPr>
        <w:pStyle w:val="EndNoteBibliography"/>
        <w:ind w:left="720" w:hanging="720"/>
      </w:pPr>
      <w:r w:rsidRPr="006C7FD0">
        <w:t>6.</w:t>
      </w:r>
      <w:r w:rsidRPr="006C7FD0">
        <w:tab/>
        <w:t xml:space="preserve">American Nonsmokers' Rights Foundation. Smokefree Lists, Maps, and Data: Outdoor Area Lists. American Nonsmokers' Rights Foundation. Berkeley. April 2, 2015. Accessed May 22, 2013. </w:t>
      </w:r>
      <w:hyperlink r:id="rId10" w:anchor="outdoor" w:history="1">
        <w:r w:rsidRPr="006C7FD0">
          <w:rPr>
            <w:rStyle w:val="Hyperlink"/>
          </w:rPr>
          <w:t>http://www.no-smoke.org/goingsmokefree.php?id=519#outdoor</w:t>
        </w:r>
      </w:hyperlink>
      <w:r w:rsidRPr="006C7FD0">
        <w:t>.</w:t>
      </w:r>
    </w:p>
    <w:p w14:paraId="4D6A6F8B" w14:textId="40404D19" w:rsidR="006C7FD0" w:rsidRPr="006C7FD0" w:rsidRDefault="006C7FD0" w:rsidP="006C7FD0">
      <w:pPr>
        <w:pStyle w:val="EndNoteBibliography"/>
        <w:ind w:left="720" w:hanging="720"/>
      </w:pPr>
      <w:r w:rsidRPr="006C7FD0">
        <w:t>7.</w:t>
      </w:r>
      <w:r w:rsidRPr="006C7FD0">
        <w:tab/>
        <w:t xml:space="preserve">Non-Smokers' Rights Association. NSRA's Smoke-Free Laws Database. Non-Smokers' Rights Association. Ottawa. March 31, 2015. </w:t>
      </w:r>
      <w:r w:rsidR="008372A1">
        <w:t>Accessed</w:t>
      </w:r>
      <w:r w:rsidR="008372A1" w:rsidRPr="006C7FD0">
        <w:t xml:space="preserve"> </w:t>
      </w:r>
      <w:r w:rsidRPr="006C7FD0">
        <w:t xml:space="preserve">May 22, 2015. </w:t>
      </w:r>
      <w:hyperlink r:id="rId11" w:history="1">
        <w:r w:rsidRPr="006C7FD0">
          <w:rPr>
            <w:rStyle w:val="Hyperlink"/>
          </w:rPr>
          <w:t>http://www.nsra-adnf.ca/cms/sfl-database-search.html?advanced</w:t>
        </w:r>
      </w:hyperlink>
      <w:r w:rsidRPr="006C7FD0">
        <w:t>.</w:t>
      </w:r>
    </w:p>
    <w:p w14:paraId="4AF792A6" w14:textId="547A9D12" w:rsidR="006C7FD0" w:rsidRPr="006C7FD0" w:rsidRDefault="006C7FD0" w:rsidP="006C7FD0">
      <w:pPr>
        <w:pStyle w:val="EndNoteBibliography"/>
        <w:ind w:left="720" w:hanging="720"/>
      </w:pPr>
      <w:r w:rsidRPr="006C7FD0">
        <w:t>8.</w:t>
      </w:r>
      <w:r w:rsidRPr="006C7FD0">
        <w:tab/>
        <w:t xml:space="preserve">US Department of Health and Human Services. The Health Consequences of Involuntary Exposure to Tobacco Smoke: A Report of the Surgeon General. U.S. Department of Health and Human Services, Centers for Disease Control and Prevention, Coordinating Center for Health Promotion, National Center for Chronic Disease Prevention and Health Promotion, Office on Smoking and Health. Atlanta GA. 2006. Accessed March 9, 2015. </w:t>
      </w:r>
      <w:hyperlink r:id="rId12" w:history="1">
        <w:r w:rsidRPr="006C7FD0">
          <w:rPr>
            <w:rStyle w:val="Hyperlink"/>
          </w:rPr>
          <w:t>http://www.surgeongeneral.gov/library/reports/secondhandsmoke/fullreport.pdf</w:t>
        </w:r>
      </w:hyperlink>
      <w:r w:rsidRPr="006C7FD0">
        <w:t>.</w:t>
      </w:r>
    </w:p>
    <w:p w14:paraId="4B5AC9F1" w14:textId="31A0B179" w:rsidR="00E15D6E" w:rsidRDefault="002F516A" w:rsidP="00F877E3">
      <w:r/>
    </w:p>
    <w:sectPr w:rsidR="00E15D6E">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D2BCF" w14:textId="77777777" w:rsidR="007E7A25" w:rsidRDefault="007E7A25" w:rsidP="00641871">
      <w:r>
        <w:separator/>
      </w:r>
    </w:p>
  </w:endnote>
  <w:endnote w:type="continuationSeparator" w:id="0">
    <w:p w14:paraId="553C2BF0" w14:textId="77777777" w:rsidR="007E7A25" w:rsidRDefault="007E7A25" w:rsidP="0064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D9D46" w14:textId="77777777" w:rsidR="007E7A25" w:rsidRDefault="007E7A25" w:rsidP="00641871">
      <w:r>
        <w:separator/>
      </w:r>
    </w:p>
  </w:footnote>
  <w:footnote w:type="continuationSeparator" w:id="0">
    <w:p w14:paraId="720441A4" w14:textId="77777777" w:rsidR="007E7A25" w:rsidRDefault="007E7A25" w:rsidP="0064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637564"/>
      <w:docPartObj>
        <w:docPartGallery w:val="Page Numbers (Top of Page)"/>
        <w:docPartUnique/>
      </w:docPartObj>
    </w:sdtPr>
    <w:sdtEndPr>
      <w:rPr>
        <w:noProof/>
      </w:rPr>
    </w:sdtEndPr>
    <w:sdtContent>
      <w:p w14:paraId="481E2C41" w14:textId="77777777" w:rsidR="00641871" w:rsidRDefault="00641871">
        <w:pPr>
          <w:pStyle w:val="Header"/>
          <w:jc w:val="center"/>
        </w:pPr>
        <w:r>
          <w:fldChar w:fldCharType="begin"/>
        </w:r>
        <w:r>
          <w:instrText xml:space="preserve"> PAGE   \* MERGEFORMAT </w:instrText>
        </w:r>
        <w:r>
          <w:fldChar w:fldCharType="separate"/>
        </w:r>
        <w:r w:rsidR="00272FDB">
          <w:rPr>
            <w:noProof/>
          </w:rPr>
          <w:t>2</w:t>
        </w:r>
        <w:r>
          <w:rPr>
            <w:noProof/>
          </w:rPr>
          <w:fldChar w:fldCharType="end"/>
        </w:r>
      </w:p>
    </w:sdtContent>
  </w:sdt>
  <w:p w14:paraId="4894A13D" w14:textId="77777777" w:rsidR="00641871" w:rsidRDefault="00641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00A9E"/>
    <w:multiLevelType w:val="hybridMultilevel"/>
    <w:tmpl w:val="9872F322"/>
    <w:lvl w:ilvl="0" w:tplc="D626047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B2E1F"/>
    <w:multiLevelType w:val="hybridMultilevel"/>
    <w:tmpl w:val="1682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G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sr2steasvtpxje9fe7va9srdzsetvsfswep&quot;&gt;Theory refs- 8-1&lt;record-ids&gt;&lt;item&gt;7119&lt;/item&gt;&lt;item&gt;21063&lt;/item&gt;&lt;item&gt;22011&lt;/item&gt;&lt;item&gt;22104&lt;/item&gt;&lt;item&gt;23515&lt;/item&gt;&lt;item&gt;23790&lt;/item&gt;&lt;item&gt;23866&lt;/item&gt;&lt;item&gt;23982&lt;/item&gt;&lt;/record-ids&gt;&lt;/item&gt;&lt;/Libraries&gt;"/>
  </w:docVars>
  <w:rsids>
    <w:rsidRoot w:val="00927319"/>
    <w:rsid w:val="00044D0D"/>
    <w:rsid w:val="000A1A50"/>
    <w:rsid w:val="001018EA"/>
    <w:rsid w:val="0018385E"/>
    <w:rsid w:val="001B699E"/>
    <w:rsid w:val="001C52B7"/>
    <w:rsid w:val="002079FA"/>
    <w:rsid w:val="00245F55"/>
    <w:rsid w:val="00272FDB"/>
    <w:rsid w:val="002B4CAA"/>
    <w:rsid w:val="002D115B"/>
    <w:rsid w:val="002F516A"/>
    <w:rsid w:val="00347AE4"/>
    <w:rsid w:val="003964C5"/>
    <w:rsid w:val="003D30B0"/>
    <w:rsid w:val="003F2125"/>
    <w:rsid w:val="004434BD"/>
    <w:rsid w:val="00451733"/>
    <w:rsid w:val="0048501F"/>
    <w:rsid w:val="004976DF"/>
    <w:rsid w:val="00511D5E"/>
    <w:rsid w:val="00532418"/>
    <w:rsid w:val="005A5514"/>
    <w:rsid w:val="005E0B08"/>
    <w:rsid w:val="005E7E0C"/>
    <w:rsid w:val="005F0A45"/>
    <w:rsid w:val="00626B14"/>
    <w:rsid w:val="00631FB8"/>
    <w:rsid w:val="00641871"/>
    <w:rsid w:val="00677DE8"/>
    <w:rsid w:val="006A189E"/>
    <w:rsid w:val="006C7FD0"/>
    <w:rsid w:val="00706EF5"/>
    <w:rsid w:val="00713609"/>
    <w:rsid w:val="007169DB"/>
    <w:rsid w:val="00754D5F"/>
    <w:rsid w:val="0078159B"/>
    <w:rsid w:val="00794E0F"/>
    <w:rsid w:val="007E4968"/>
    <w:rsid w:val="007E7A25"/>
    <w:rsid w:val="00803ABA"/>
    <w:rsid w:val="008372A1"/>
    <w:rsid w:val="008A28F7"/>
    <w:rsid w:val="008B30D0"/>
    <w:rsid w:val="008D18B3"/>
    <w:rsid w:val="008D3B4A"/>
    <w:rsid w:val="00927319"/>
    <w:rsid w:val="00A53236"/>
    <w:rsid w:val="00B25477"/>
    <w:rsid w:val="00B61423"/>
    <w:rsid w:val="00B6687E"/>
    <w:rsid w:val="00B901EC"/>
    <w:rsid w:val="00BB451F"/>
    <w:rsid w:val="00BE5B6A"/>
    <w:rsid w:val="00C37563"/>
    <w:rsid w:val="00DB5437"/>
    <w:rsid w:val="00DD04DD"/>
    <w:rsid w:val="00DD672A"/>
    <w:rsid w:val="00E01209"/>
    <w:rsid w:val="00E029C8"/>
    <w:rsid w:val="00E15D6E"/>
    <w:rsid w:val="00E47AD4"/>
    <w:rsid w:val="00E571BD"/>
    <w:rsid w:val="00EC5FA3"/>
    <w:rsid w:val="00EF2285"/>
    <w:rsid w:val="00F877E3"/>
    <w:rsid w:val="00FC341D"/>
    <w:rsid w:val="00FD5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0F284B"/>
  <w15:docId w15:val="{F37DB718-F26A-4638-B70C-7C226DE1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2F516A"/>
    <w:pPr>
      <w:jc w:val="center"/>
    </w:pPr>
    <w:rPr>
      <w:noProof/>
    </w:rPr>
  </w:style>
  <w:style w:type="character" w:customStyle="1" w:styleId="EndNoteBibliographyTitleChar">
    <w:name w:val="EndNote Bibliography Title Char"/>
    <w:basedOn w:val="DefaultParagraphFont"/>
    <w:link w:val="EndNoteBibliographyTitle"/>
    <w:rsid w:val="002F516A"/>
    <w:rPr>
      <w:noProof/>
    </w:rPr>
  </w:style>
  <w:style w:type="paragraph" w:customStyle="1" w:styleId="EndNoteBibliography">
    <w:name w:val="EndNote Bibliography"/>
    <w:basedOn w:val="Normal"/>
    <w:link w:val="EndNoteBibliographyChar"/>
    <w:rsid w:val="002F516A"/>
    <w:rPr>
      <w:noProof/>
    </w:rPr>
  </w:style>
  <w:style w:type="character" w:customStyle="1" w:styleId="EndNoteBibliographyChar">
    <w:name w:val="EndNote Bibliography Char"/>
    <w:basedOn w:val="DefaultParagraphFont"/>
    <w:link w:val="EndNoteBibliography"/>
    <w:rsid w:val="002F516A"/>
    <w:rPr>
      <w:noProof/>
    </w:rPr>
  </w:style>
  <w:style w:type="character" w:styleId="Hyperlink">
    <w:name w:val="Hyperlink"/>
    <w:basedOn w:val="DefaultParagraphFont"/>
    <w:uiPriority w:val="99"/>
    <w:unhideWhenUsed/>
    <w:rsid w:val="005E7E0C"/>
    <w:rPr>
      <w:color w:val="0000FF" w:themeColor="hyperlink"/>
      <w:u w:val="single"/>
    </w:rPr>
  </w:style>
  <w:style w:type="paragraph" w:styleId="ListParagraph">
    <w:name w:val="List Paragraph"/>
    <w:basedOn w:val="Normal"/>
    <w:uiPriority w:val="34"/>
    <w:qFormat/>
    <w:rsid w:val="003D30B0"/>
    <w:pPr>
      <w:ind w:left="720"/>
      <w:contextualSpacing/>
    </w:pPr>
  </w:style>
  <w:style w:type="paragraph" w:styleId="Header">
    <w:name w:val="header"/>
    <w:basedOn w:val="Normal"/>
    <w:link w:val="HeaderChar"/>
    <w:uiPriority w:val="99"/>
    <w:unhideWhenUsed/>
    <w:rsid w:val="00641871"/>
    <w:pPr>
      <w:tabs>
        <w:tab w:val="center" w:pos="4680"/>
        <w:tab w:val="right" w:pos="9360"/>
      </w:tabs>
    </w:pPr>
  </w:style>
  <w:style w:type="character" w:customStyle="1" w:styleId="HeaderChar">
    <w:name w:val="Header Char"/>
    <w:basedOn w:val="DefaultParagraphFont"/>
    <w:link w:val="Header"/>
    <w:uiPriority w:val="99"/>
    <w:rsid w:val="00641871"/>
  </w:style>
  <w:style w:type="paragraph" w:styleId="Footer">
    <w:name w:val="footer"/>
    <w:basedOn w:val="Normal"/>
    <w:link w:val="FooterChar"/>
    <w:uiPriority w:val="99"/>
    <w:unhideWhenUsed/>
    <w:rsid w:val="00641871"/>
    <w:pPr>
      <w:tabs>
        <w:tab w:val="center" w:pos="4680"/>
        <w:tab w:val="right" w:pos="9360"/>
      </w:tabs>
    </w:pPr>
  </w:style>
  <w:style w:type="character" w:customStyle="1" w:styleId="FooterChar">
    <w:name w:val="Footer Char"/>
    <w:basedOn w:val="DefaultParagraphFont"/>
    <w:link w:val="Footer"/>
    <w:uiPriority w:val="99"/>
    <w:rsid w:val="00641871"/>
  </w:style>
  <w:style w:type="character" w:styleId="FollowedHyperlink">
    <w:name w:val="FollowedHyperlink"/>
    <w:basedOn w:val="DefaultParagraphFont"/>
    <w:uiPriority w:val="99"/>
    <w:semiHidden/>
    <w:unhideWhenUsed/>
    <w:rsid w:val="00511D5E"/>
    <w:rPr>
      <w:color w:val="800080" w:themeColor="followedHyperlink"/>
      <w:u w:val="single"/>
    </w:rPr>
  </w:style>
  <w:style w:type="paragraph" w:styleId="BalloonText">
    <w:name w:val="Balloon Text"/>
    <w:basedOn w:val="Normal"/>
    <w:link w:val="BalloonTextChar"/>
    <w:uiPriority w:val="99"/>
    <w:semiHidden/>
    <w:unhideWhenUsed/>
    <w:rsid w:val="00B614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423"/>
    <w:rPr>
      <w:rFonts w:ascii="Segoe UI" w:hAnsi="Segoe UI" w:cs="Segoe UI"/>
      <w:sz w:val="18"/>
      <w:szCs w:val="18"/>
    </w:rPr>
  </w:style>
  <w:style w:type="character" w:styleId="CommentReference">
    <w:name w:val="annotation reference"/>
    <w:basedOn w:val="DefaultParagraphFont"/>
    <w:uiPriority w:val="99"/>
    <w:semiHidden/>
    <w:unhideWhenUsed/>
    <w:rsid w:val="00B61423"/>
    <w:rPr>
      <w:sz w:val="16"/>
      <w:szCs w:val="16"/>
    </w:rPr>
  </w:style>
  <w:style w:type="paragraph" w:styleId="CommentText">
    <w:name w:val="annotation text"/>
    <w:basedOn w:val="Normal"/>
    <w:link w:val="CommentTextChar"/>
    <w:uiPriority w:val="99"/>
    <w:semiHidden/>
    <w:unhideWhenUsed/>
    <w:rsid w:val="00B61423"/>
    <w:rPr>
      <w:sz w:val="20"/>
      <w:szCs w:val="20"/>
    </w:rPr>
  </w:style>
  <w:style w:type="character" w:customStyle="1" w:styleId="CommentTextChar">
    <w:name w:val="Comment Text Char"/>
    <w:basedOn w:val="DefaultParagraphFont"/>
    <w:link w:val="CommentText"/>
    <w:uiPriority w:val="99"/>
    <w:semiHidden/>
    <w:rsid w:val="00B61423"/>
    <w:rPr>
      <w:sz w:val="20"/>
      <w:szCs w:val="20"/>
    </w:rPr>
  </w:style>
  <w:style w:type="paragraph" w:styleId="CommentSubject">
    <w:name w:val="annotation subject"/>
    <w:basedOn w:val="CommentText"/>
    <w:next w:val="CommentText"/>
    <w:link w:val="CommentSubjectChar"/>
    <w:uiPriority w:val="99"/>
    <w:semiHidden/>
    <w:unhideWhenUsed/>
    <w:rsid w:val="00B61423"/>
    <w:rPr>
      <w:b/>
      <w:bCs/>
    </w:rPr>
  </w:style>
  <w:style w:type="character" w:customStyle="1" w:styleId="CommentSubjectChar">
    <w:name w:val="Comment Subject Char"/>
    <w:basedOn w:val="CommentTextChar"/>
    <w:link w:val="CommentSubject"/>
    <w:uiPriority w:val="99"/>
    <w:semiHidden/>
    <w:rsid w:val="00B614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2307</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George Thomson</cp:lastModifiedBy>
  <cp:revision>6</cp:revision>
  <cp:lastPrinted>2015-05-26T22:18:00Z</cp:lastPrinted>
  <dcterms:created xsi:type="dcterms:W3CDTF">2015-05-26T22:16:00Z</dcterms:created>
  <dcterms:modified xsi:type="dcterms:W3CDTF">2022-05-31T03:51:00Z</dcterms:modified>
</cp:coreProperties>
</file>